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0000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0000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0000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0000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0000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0000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0000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0000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0000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0000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0000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0000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0000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0000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0000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0000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1597A8D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2023, por la cantidad de $</w:t>
      </w:r>
      <w:r w:rsidRPr="009E2019">
        <w:t xml:space="preserve"> </w:t>
      </w:r>
      <w:r w:rsidRPr="009E2019">
        <w:rPr>
          <w:rFonts w:cs="Calibri"/>
        </w:rPr>
        <w:t>17,511,668.69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596586FD"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 xml:space="preserve">01 de enero al 31 de diciembre de 2023, reportándose el </w:t>
      </w:r>
      <w:r w:rsidRPr="00F33708">
        <w:rPr>
          <w:rFonts w:cs="Calibri"/>
        </w:rPr>
        <w:t>periodo del 01 de enero al 3</w:t>
      </w:r>
      <w:r w:rsidR="00EB5015">
        <w:rPr>
          <w:rFonts w:cs="Calibri"/>
        </w:rPr>
        <w:t>0 de junio de 2023</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0A453D5D"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99181A">
        <w:rPr>
          <w:rFonts w:cs="Calibri"/>
        </w:rPr>
        <w:t>3</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59F8619B"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Pr>
          <w:rFonts w:cs="Calibri"/>
        </w:rPr>
        <w:t>3</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550F3AA9"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07FD064A"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2023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3094872B"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2AFC3E2"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2023,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67086EF"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Pr>
          <w:rFonts w:cs="Calibri"/>
        </w:rPr>
        <w:t>3</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0CA1B154"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36120305"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5196EE" w14:textId="18A225C7" w:rsidR="004E2B2B" w:rsidRPr="00E74967" w:rsidRDefault="00231B0F" w:rsidP="00CB41C4">
      <w:pPr>
        <w:tabs>
          <w:tab w:val="left" w:leader="underscore" w:pos="9639"/>
        </w:tabs>
        <w:spacing w:after="0" w:line="240" w:lineRule="auto"/>
        <w:jc w:val="both"/>
        <w:rPr>
          <w:rFonts w:cs="Calibri"/>
        </w:rPr>
      </w:pPr>
      <w:r w:rsidRPr="00231B0F">
        <w:drawing>
          <wp:inline distT="0" distB="0" distL="0" distR="0" wp14:anchorId="23C4B053" wp14:editId="17CA0FF7">
            <wp:extent cx="6151880" cy="170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708150"/>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5FF06EEC"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231B0F">
        <w:t>0 de junio de 2023</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7D322B1" w:rsidR="007D1E76" w:rsidRPr="00E74967" w:rsidRDefault="004E2B2B" w:rsidP="00CB41C4">
      <w:pPr>
        <w:tabs>
          <w:tab w:val="left" w:leader="underscore" w:pos="9639"/>
        </w:tabs>
        <w:spacing w:after="0" w:line="240" w:lineRule="auto"/>
        <w:jc w:val="both"/>
        <w:rPr>
          <w:rFonts w:cs="Calibri"/>
        </w:rPr>
      </w:pPr>
      <w:r>
        <w:rPr>
          <w:rFonts w:cs="Calibri"/>
        </w:rPr>
        <w:t>Para el Ejercicio Fiscal 2023,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C.P. Carolina del Socorro Andrade Álvarez</w:t>
            </w:r>
          </w:p>
          <w:p w14:paraId="60AC02CF" w14:textId="77777777" w:rsidR="004E2B2B" w:rsidRDefault="004E2B2B" w:rsidP="001C41FF">
            <w:pPr>
              <w:tabs>
                <w:tab w:val="left" w:leader="underscore" w:pos="9639"/>
              </w:tabs>
              <w:spacing w:after="0" w:line="240" w:lineRule="auto"/>
              <w:jc w:val="center"/>
              <w:rPr>
                <w:rFonts w:cs="Calibri"/>
              </w:rPr>
            </w:pPr>
            <w:r>
              <w:rPr>
                <w:rFonts w:cs="Calibri"/>
              </w:rPr>
              <w:t>Administradora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F3D1" w14:textId="77777777" w:rsidR="00F43321" w:rsidRDefault="00F43321" w:rsidP="00E00323">
      <w:pPr>
        <w:spacing w:after="0" w:line="240" w:lineRule="auto"/>
      </w:pPr>
      <w:r>
        <w:separator/>
      </w:r>
    </w:p>
  </w:endnote>
  <w:endnote w:type="continuationSeparator" w:id="0">
    <w:p w14:paraId="7A330BDF" w14:textId="77777777" w:rsidR="00F43321" w:rsidRDefault="00F4332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FE83" w14:textId="77777777" w:rsidR="00F43321" w:rsidRDefault="00F43321" w:rsidP="00E00323">
      <w:pPr>
        <w:spacing w:after="0" w:line="240" w:lineRule="auto"/>
      </w:pPr>
      <w:r>
        <w:separator/>
      </w:r>
    </w:p>
  </w:footnote>
  <w:footnote w:type="continuationSeparator" w:id="0">
    <w:p w14:paraId="69679412" w14:textId="77777777" w:rsidR="00F43321" w:rsidRDefault="00F4332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2DBCCBF5"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EB5015">
      <w:rPr>
        <w:b/>
        <w:bCs/>
        <w:color w:val="7030A0"/>
        <w:sz w:val="24"/>
        <w:szCs w:val="24"/>
      </w:rPr>
      <w:t>0 DE JUNIO DE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8705169">
    <w:abstractNumId w:val="13"/>
  </w:num>
  <w:num w:numId="2" w16cid:durableId="1289823882">
    <w:abstractNumId w:val="12"/>
  </w:num>
  <w:num w:numId="3" w16cid:durableId="322128496">
    <w:abstractNumId w:val="2"/>
  </w:num>
  <w:num w:numId="4" w16cid:durableId="1152714002">
    <w:abstractNumId w:val="9"/>
  </w:num>
  <w:num w:numId="5" w16cid:durableId="201211864">
    <w:abstractNumId w:val="18"/>
  </w:num>
  <w:num w:numId="6" w16cid:durableId="1412463385">
    <w:abstractNumId w:val="14"/>
  </w:num>
  <w:num w:numId="7" w16cid:durableId="1478106385">
    <w:abstractNumId w:val="16"/>
  </w:num>
  <w:num w:numId="8" w16cid:durableId="1130904085">
    <w:abstractNumId w:val="4"/>
  </w:num>
  <w:num w:numId="9" w16cid:durableId="939413998">
    <w:abstractNumId w:val="6"/>
  </w:num>
  <w:num w:numId="10" w16cid:durableId="1848058872">
    <w:abstractNumId w:val="0"/>
  </w:num>
  <w:num w:numId="11" w16cid:durableId="2104255205">
    <w:abstractNumId w:val="17"/>
  </w:num>
  <w:num w:numId="12" w16cid:durableId="239678069">
    <w:abstractNumId w:val="7"/>
  </w:num>
  <w:num w:numId="13" w16cid:durableId="1734354841">
    <w:abstractNumId w:val="8"/>
  </w:num>
  <w:num w:numId="14" w16cid:durableId="1194881805">
    <w:abstractNumId w:val="11"/>
  </w:num>
  <w:num w:numId="15" w16cid:durableId="1268318394">
    <w:abstractNumId w:val="19"/>
  </w:num>
  <w:num w:numId="16" w16cid:durableId="143200086">
    <w:abstractNumId w:val="3"/>
  </w:num>
  <w:num w:numId="17" w16cid:durableId="1612862210">
    <w:abstractNumId w:val="1"/>
  </w:num>
  <w:num w:numId="18" w16cid:durableId="1624190812">
    <w:abstractNumId w:val="5"/>
  </w:num>
  <w:num w:numId="19" w16cid:durableId="762335648">
    <w:abstractNumId w:val="15"/>
  </w:num>
  <w:num w:numId="20" w16cid:durableId="1578131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31B0F"/>
    <w:rsid w:val="00232175"/>
    <w:rsid w:val="003453CA"/>
    <w:rsid w:val="003F4551"/>
    <w:rsid w:val="00435A87"/>
    <w:rsid w:val="004A58C8"/>
    <w:rsid w:val="004E2B2B"/>
    <w:rsid w:val="004F234D"/>
    <w:rsid w:val="0054701E"/>
    <w:rsid w:val="005B5531"/>
    <w:rsid w:val="005D3E43"/>
    <w:rsid w:val="005E231E"/>
    <w:rsid w:val="00657009"/>
    <w:rsid w:val="00681C79"/>
    <w:rsid w:val="007610BC"/>
    <w:rsid w:val="007714AB"/>
    <w:rsid w:val="007D1E76"/>
    <w:rsid w:val="007D4484"/>
    <w:rsid w:val="0086459F"/>
    <w:rsid w:val="008B40EC"/>
    <w:rsid w:val="008C3BB8"/>
    <w:rsid w:val="008E076C"/>
    <w:rsid w:val="0092765C"/>
    <w:rsid w:val="0099181A"/>
    <w:rsid w:val="009E2019"/>
    <w:rsid w:val="00A30B9C"/>
    <w:rsid w:val="00A4610E"/>
    <w:rsid w:val="00A730E0"/>
    <w:rsid w:val="00AA41E5"/>
    <w:rsid w:val="00AB722B"/>
    <w:rsid w:val="00AE1F6A"/>
    <w:rsid w:val="00B82FE7"/>
    <w:rsid w:val="00C1667F"/>
    <w:rsid w:val="00C97E1E"/>
    <w:rsid w:val="00CB41C4"/>
    <w:rsid w:val="00CF1316"/>
    <w:rsid w:val="00D13C44"/>
    <w:rsid w:val="00D40FC2"/>
    <w:rsid w:val="00D5018E"/>
    <w:rsid w:val="00D975B1"/>
    <w:rsid w:val="00E00323"/>
    <w:rsid w:val="00E74967"/>
    <w:rsid w:val="00E7559F"/>
    <w:rsid w:val="00EA37F5"/>
    <w:rsid w:val="00EA7915"/>
    <w:rsid w:val="00EB5015"/>
    <w:rsid w:val="00F33708"/>
    <w:rsid w:val="00F4332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2911</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PEDRO LUIS MONZON GARCIA</cp:lastModifiedBy>
  <cp:revision>2</cp:revision>
  <dcterms:created xsi:type="dcterms:W3CDTF">2023-08-24T05:23:00Z</dcterms:created>
  <dcterms:modified xsi:type="dcterms:W3CDTF">2023-08-24T05:23:00Z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